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                             </w:t>
      </w: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drawing>
          <wp:inline>
            <wp:extent cx="4733925" cy="2359025"/>
            <wp:effectExtent l="0" t="0" r="0" b="0"/>
            <wp:docPr id="1" name="Picture 1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392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Пpocыпайся, не ленись,                                                                                                                         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На зарядку становись!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Солнце из-за тучки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 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Нам уж машет ручкой!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Начинаем по порядку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Мы веселую зарядку: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>Руки вверх – до облаков,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Вниз – до маленьких цветов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Солнцу, небу улыбайся,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Быть приветливым старайся!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Руки в бок, теперь наклоны:                         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Слева елки, справа – клены!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Всем минуточку вниманья,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Начинаем приседанья: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Раз и два, раз и два: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>Солнце в небе и трава!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А теперь мы полетаем,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Словно птицы в небе стаей!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>Полетели, полетели,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А теперь опять присели!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А сейчас начнем прыжки –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Как пружинки – раз, два, три!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Прыгаем, как зайчики –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>Девочки и мальчики,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Все бегом бежим по кругу –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Догоняем мы друг друга!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>Вот окончилась зарядка!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Вам понравилось, ребятки?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>Прогоняйте скуку, лень –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Занимайтесь каждый день: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1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>Настроенье и здоровье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1"/>
          <w:rtl w:val="off"/>
          <w:lang w:val="en-US"/>
        </w:rPr>
        <w:t xml:space="preserve"> Вместе к вам придут с любовью!</w:t>
      </w:r>
      <w:r>
        <w:rPr>
          <w:rFonts w:ascii="Times New Roman" w:cs="Times New Roman" w:hAnsi="Times New Roman"/>
          <w:color w:val="000000"/>
          <w:sz w:val="18"/>
          <w:rtl w:val="off"/>
          <w:lang w:val="en-US"/>
        </w:rPr>
        <w:t xml:space="preserve">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</w:t>
      </w:r>
      <w:r>
        <w:rPr>
          <w:rFonts w:ascii="Times New Roman" w:cs="Times New Roman" w:hAnsi="Times New Roman"/>
        </w:rPr>
        <w:drawing>
          <wp:inline>
            <wp:extent cx="4803775" cy="3222625"/>
            <wp:effectExtent l="0" t="0" r="0" b="0"/>
            <wp:docPr id="2" name="Picture 2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0377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sz w:val="24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1. «Бабочка». Помогите малышу представить, что его веки и реснички это крылышки красивой бабочки. Необходимо моргать глазами, при этом все движения должны быть легкими, воздушными и достаточно быстрыми.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>2. «Веселые часики». В этом случае представляем, что глаза являются стрелками, которые смотрят то вправо, то влево. Необходимо выполнить не менее 20 повторений, при этом стоит внимательно следить за ровным положением головы.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3. «Жмурки». Данная игра известна всем детям. При выполнении этого упражнения необходимо крепко зажмурить глаза, приблизительно на 5 секунд, а затем их полностью расслабить.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4. «Железнодорожный светофор». Ребенок пpeдставляет себя светофором. Он должен закрывать то правый, то левый глаз.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5. «Кто кого переглядит». Необходимо как можно дольше не моргать глазами. С каждым днем это время начнет увеличиваться. Как только ребенок моргнет, он должен закрыть глаза и представить, что спит. Напряжение с расслаблением благотворно действует на мышцы.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>6. «Близко-далеко». На окно необходимо прикрепить небольшой круг. Ребенок должен переводить взгляд с него на более далекий объект. Например, на уличный столб, дерево, соседнее здание.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rtl w:val="off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>7. «Массаж». Закрыть глаза и погладить подушечками пальцев веки. Массажировать также можно скулы, брови и края глазниц. Это поможет улучшить кровообращение в данной области и оказывает сильное положительное влияние на органы зрения.</w:t>
      </w:r>
      <w:r>
        <w:rPr>
          <w:rFonts w:ascii="Segoe UI"/>
          <w:color w:val="000000"/>
          <w:sz w:val="20"/>
          <w:rtl w:val="off"/>
          <w:lang w:val="en-US"/>
        </w:rPr>
        <w:t xml:space="preserve">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sz w:val="24"/>
        </w:rPr>
      </w:pPr>
    </w:p>
    <w:sectPr>
      <w:pgSz w:w="11906" w:h="16838" w:orient="portrait"/>
      <w:pgMar w:top="720" w:right="720" w:bottom="720" w:lef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image" Target="media/image1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Тевкова</dc:creator>
  <cp:lastModifiedBy>Екатерина Тевкова</cp:lastModifiedBy>
</cp:coreProperties>
</file>